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07AB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7AB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07AB3" w:rsidRDefault="00000000">
            <w:pPr>
              <w:spacing w:after="0" w:line="240" w:lineRule="auto"/>
            </w:pPr>
            <w:r>
              <w:t>26952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7AB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07AB3" w:rsidRDefault="00000000">
            <w:pPr>
              <w:spacing w:after="0" w:line="240" w:lineRule="auto"/>
            </w:pPr>
            <w:r>
              <w:t>GRAD JASTREBARSKO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7AB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07AB3" w:rsidRDefault="00000000">
            <w:pPr>
              <w:spacing w:after="0" w:line="240" w:lineRule="auto"/>
            </w:pPr>
            <w:r>
              <w:t>22</w:t>
            </w:r>
          </w:p>
        </w:tc>
      </w:tr>
    </w:tbl>
    <w:p w:rsidR="00607AB3" w:rsidRDefault="00000000">
      <w:r>
        <w:br/>
      </w:r>
    </w:p>
    <w:p w:rsidR="00607AB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07AB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07AB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16.480.748,35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17.667.810,32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10.616.178,24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13.241.081,34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5.864.570,11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4.426.728,98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75,5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209.203,47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743.378,82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355,3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10.153.159,12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11.727.626,88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9.943.955,65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10.984.248,06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110,5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6.785.172,32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6.955.827,68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426.297,68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416.931,32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6.358.874,64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6.538.896,36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102,8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18.622,72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Prihodi poslovanja realizirani su više u odnosu na izvještajno razdoblje prethodne godine za 7,2%. Povećanje je uvjetovano pozitivnim gospodarskim kretanjima i rastom plaća što je dovelo do rasta poreznih prihoda, a također su rasli i prihodi od pomoći sukladno dinamici provedbe projekata sufinanciranih iz nacionalnih i EU izvora. Ostale skupine prihoda su na razini realizacije u istom izvještajnom razdoblju 2024. godine. Odstupanje na niže je kod komunalnih doprinosa i naknada, a što je uvjetovano manjim prihodima od komunalnog </w:t>
      </w:r>
      <w:r>
        <w:lastRenderedPageBreak/>
        <w:t>doprinosa temeljem izdanih rješenja. Prihodi od prodaje nefinancijske imovine realizirani su u iznosu od 743.378,82 € odnosno 255,3% više u odnosu na isto izvještajno razdoblje prethodne godine. Na više izvršenje utjecali su prihodi ostvareni s osnove prodaje zemljišta (šifra 711) odnosno jednog velikog zemljišta koje je prodano nakon više godine uzastopnih raspisivanja javnog natječaja  za prodaju te nekretnina u vlasništvu Grada. Također, ostvaren je i prihod od prodaje nekretnine u vlasništvu Grada, a koja je prešla u vlasništvo Grada kao „</w:t>
      </w:r>
      <w:proofErr w:type="spellStart"/>
      <w:r>
        <w:t>ošasna</w:t>
      </w:r>
      <w:proofErr w:type="spellEnd"/>
      <w:r>
        <w:t xml:space="preserve"> imovina“.  U izvještajnom razdoblju tekuće godine Grad je realizirao primitak  kredita od tuzemnih kreditnih institucija izvan javnog sektora u iznosu od 6.955.827,68 € za financiranje nastavka višegodišnjeg projekta obnove i revitalizacije dvorca </w:t>
      </w:r>
      <w:proofErr w:type="spellStart"/>
      <w:r>
        <w:t>Erdody</w:t>
      </w:r>
      <w:proofErr w:type="spellEnd"/>
      <w:r>
        <w:t xml:space="preserve"> u Jastrebarskom, a temeljem odobrenog kreditnog zaduženja i sukladno dinamici povlačenja kreditnih sredstava. S 30.12.2025. kreditna sredstva po ovom kreditu su u cijelosti iskorištena. Rashodi poslovanja iznose 13.241.081,34 € što je 24,7% više u odnosu na isto izvještajno razdoblje prethodne godine. Povećanje je u najvećoj mjeri uvjetovano rastom rashoda za zaposlene, materijalnih rashoda kao i financijskih rashoda. Rasli su i ostali rashodi, pomoći dane unutar općeg proračuna te subvencije, a što se detaljno obrazlaže u nastavku unutar pojedine šifre rashoda na kojoj je znatnije odstupanje. Rashodi za nabavu nefinancijske imovine realizirani su u iznosu od 11.727.626,88 €, odnosno 15,5% više u odnosu na isto izvještajno razdoblje prethodne godine, a što je uvjetovano znatnijim ulaganjima u komunalnu infrastrukturu tijekom 2025. godine.  Detaljno obrazloženje se daje u nastavku unutar pojedine šifre rashoda na kojoj je znatnije odstupanje.  Izdaci za financijsku imovinu su na razini prethodnog izvještajnog razdoblja, a odnose se na otplate glavnice dva kreditna zaduženja Grada temeljem otplatnih planova.  </w:t>
      </w:r>
    </w:p>
    <w:p w:rsidR="00607AB3" w:rsidRDefault="00000000">
      <w:r>
        <w:t xml:space="preserve">U izvještajnom razdoblju je ostvaren višak prihoda poslovanja u iznosu 4.426.728,98 €, a koji najvećim proizlazi iz različite dinamike priljeva i odljeva sredstava s računa te činjenice da se znatan dio rashoda za nefinancijsku imovinu financira iz prihoda poslovanja. Također je ostvaren i višak primitaka od financijske imovine u ovom izvještajnom razdoblju u iznosu od 6.538.896,36 € budući je do 31.12.2025. godine bilo razdoblje korištenja sredstava kredita za rekonstrukciju i obnovu dvorca </w:t>
      </w:r>
      <w:proofErr w:type="spellStart"/>
      <w:r>
        <w:t>Erdody</w:t>
      </w:r>
      <w:proofErr w:type="spellEnd"/>
      <w:r>
        <w:t xml:space="preserve">. S druge strane je ostvaren manjak prihoda od nefinancijske imovine u iznosu od 10.984.248,06 € što proizlazi iz činjenice da se veliki dio rashoda za nabavu nefinancijske imovine financira iz prihoda poslovanja te iz primitaka od zaduživanja (projekt obnove dvorca </w:t>
      </w:r>
      <w:proofErr w:type="spellStart"/>
      <w:r>
        <w:t>Erdody</w:t>
      </w:r>
      <w:proofErr w:type="spellEnd"/>
      <w:r>
        <w:t>). Gledajući ukupno, ukupni prihodi i primici (ŠIFRA X678) u izvještajnom razdoblju iznose 25.367.016,82 €, a ukupni rashodi i izdaci (ŠIFRA Y345)  iznose 25.385.639,54 €, te je ostvaren manjak prihoda i primitaka za izvještajno razdoblje (ŠIFRA y005) u iznosu 18.622,72 €. Preneseni višak prihoda i primitaka iz prethodne godine (ŠIFRA 9221-9222) iznosi 3.132.136,88 € tako da višak prihoda i primitaka raspoloživ u narednom razdoblju (ŠIFRA X006) iznosi 3.113.514,16 €.</w:t>
      </w:r>
    </w:p>
    <w:p w:rsidR="00607AB3" w:rsidRDefault="00000000">
      <w:r>
        <w:br/>
      </w:r>
    </w:p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8.350.275,56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9.777.167,39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Porez na dohodak je realiziran više u odnosu na isto izvještajno razdoblje prethodne godine za 17,1%, a uvjetovano rastom plaća i zaposlenosti uslijed pozitivnih gospodarskih kretanja.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882.773,10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513.506,34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58,2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Porezi na imovinu manji su za 41,80% u odnosu na isto izvještajno razdoblje prethodne, a uvjetovano manjim prometom nekretnina odnosno naplatom prihoda od poreza na promet nekretninama u odnosu na prethodnu godinu, a što je posljedice stagnacije tržišta nekretnina području grada.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64.554,82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93.561,92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Porezi na robu i usluge veći su za 44,9% u odnosu na prethodnu godinu uslijed realizacije prihoda od poreza na potrošnju alkoholnih i bezalkoholnih pića koji je ponovno uveden  Odlukom o lokalnim porezima od 1.1.2024. godine, s obzirom da je privremeno bio ukinut za vrijeme „korona krize“ te se tijekom ove godine u cijelosti oformila baza obveznika plaćanja tog poreza, ali primjetan je i rast potrošnje.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1.412.299,35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2.943.154,24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lastRenderedPageBreak/>
        <w:t xml:space="preserve">Pomoći proračunu iz drugih proračuna realizirane su više u odnosu na isto izvještajno razdoblje prethodne godine za 108,4%, a ostvarene su najvećim dijelom s osnove primljenih sredstava za sufinanciranje nastavka višegodišnjeg projekta obnove i revitalizacije dvorca </w:t>
      </w:r>
      <w:proofErr w:type="spellStart"/>
      <w:r>
        <w:t>Erdody</w:t>
      </w:r>
      <w:proofErr w:type="spellEnd"/>
      <w:r>
        <w:t xml:space="preserve"> u Jastrebarskom i izgradnju dječjih igrališta iz državnog proračuna, te od nadležne županije za obnovu zgrade javne namjene kao i za projekte obnove DVD domova na području grada. Također, po okončanju upravnog spora koji je Grad Jastrebarsko vodio protiv RH i kojim je odlučeno u korist Grada, sklopljena je nagodba s Državnim odvjetništvom, i Gradu je isplaćena pomoć iz državnog proračuna za naknadu šteta za elementarnu nepogodu tuča iz 2022. godine.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379.434,78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Pomoći pomoću od izvanproračunskih korisnika nisu realizirane u ovom izvještajnom razdoblju, te se realizacija istih za odobrene projekte grada temeljem sklopljenih ugovora s izvanproračunskim korisnicima očekuje početkom idućeg izvještajnog razdoblja.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33.439,46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okviru ove podskupine iskazane su pomoći fiskalnog izravnanja s primjenom od 01. siječnja 2025. godine sukladno Pravilniku o proračunskom računovodstvu i računskom planu te stoga ima realizaciju samo tekućeg izvještajnog razdoblja, dok je za izvještajno razdoblje prethodne godine iskazano u okviru podskupine 633.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45.821,66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lastRenderedPageBreak/>
        <w:t>Pomoći proračunskim korisnicima iz proračuna koji im nije nadležan realizirane su 30,00% više u odnosu na isto razdoblje prethodne godine, a uvjetovano većim brojem djece iz drugih JLS-a čiji boravak roditelji sufinanciraju dječjem vrtiću Grada.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481.109,55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377.464,50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S ove osnove u izvještajnom razdoblju realizirane su pomoći u iznosu od 377.464,50 € odnosno 21,5 % manje u odnosu na prethodno izvještajno razdoblje, a sve sukladno podnijetim zahtjevima za nadoknadu sredstava, a ostvarene pomoći odnose se na provedbu projekta krajobraznog uređenja prigradskog naselja,  financiranje izrade prostornih planova nove generacije putem elektroničkog sustava „</w:t>
      </w:r>
      <w:proofErr w:type="spellStart"/>
      <w:r>
        <w:t>ePlanovi</w:t>
      </w:r>
      <w:proofErr w:type="spellEnd"/>
      <w:r>
        <w:t>“ te izgradnju područnog odjeljenja dječjeg vrtića.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13.846,31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Prihodi od financijske imovine su realizirani 49,20% manje u odnosu na isto izvještajno razdoblje prethodne godine, a uvjetovano manjim brojem ovrha i posljedično tome nižom naplatom prihoda od kamata.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447.530,61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501.378,20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Prihodi od nefinancijske imovine izvršeni su u iznosu od 501.378,20 €, te odstupaju na više s 12,0% u odnosu na prethodno razdoblje budući je realizirano više prihoda s osnove naknade za eksploataciju mineralnih sirovina, kao i prihoda od nefinancijske imovine (služnosti).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75.720,81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18.285,49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Prihodi po posebnim propisima su realizirani 75,90% manje u odnosu na isto izvještajno razdoblje prethodne godine budući je od prošle godine ukinuta obveza plaćanja vodnog doprinosa, a prihod od šumskog doprinosa je znatno niži nego prethodne godine. 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4.088.067,24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3.129.456,51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Komunalni doprinosi i naknade realizirani su u iznosu od 3.129.456,51 € u ovom izvještajnom razdoblju, odnosno manji su za 23,4% u odnosu na prethodnu godinu, a što je uvjetovano manjim prihodima od komunalnog doprinosa temeljem izdanih rješenja.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69.563,90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63.187,06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Ova podskupina s realizacijom odstupa na manje, a sve sukladno naplati prihoda od naknade za uređenje voda budući Grad dobiva 10% od naplate jer u ime i za račun Hrvatskih voda, sukladno Zakonu o financiranju vodnog gospodarstva, naplaćuje ovaj prihod. 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23.549,38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847,9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lastRenderedPageBreak/>
        <w:t>Ova podskupina s realizacijom odstupa na više i to za 747,9% budući je Grad tijekom ovog razdoblja ostvario kapitalnu pomoć od jednog trgovačkog društva za izradu idejnog rješenja i idejnog projekta autobusnog kolodvora.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S realizacijom odstupaju na više za 21,7%, a sve sukladno realizaciji naplate kazni komunalnih redara.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142.761,10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106.582,93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74,7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Ostali prihodi izvršeni su u iznosu od 106.582,93 €, te odstupaju na manje u odnosu na prethodno razdoblje, budući je prethodne godine u izvještajnom razdoblju izvršen povrat neutrošenih namjenskih sredstava u proračun grada.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885.893,77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1.119.370,95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plaće iznose 1.119.370,95 € što je 26,4% više u odnosu na isto izvještajno razdoblje prethodne godine, a što je uvjetovano usklađenjem plaće gradonačelnika i zamjenice gradonačelnika s osnovicom za obračun plaća državnih dužnosnika sukladno Odluci o visini osnovice za obračun plaće državnih dužnosnika („Narodne novine“, broj 88/24), a također je došlo do korekcije osnovice za obračun plaća službenika i namještenika u upravnim tijelima Grada od 1. listopada 2024. godine.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104.286,82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143.012,26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Ova podskupina s realizacijom odstupa na više i to za 37,1% budući je u ovom izvještajnom razdoblju isplaćena otpremnina službenici koja je otišla u mirovinu, a sve sukladno Pravilniku o radu za službenike i namještenike u upravnim tijelima Grada Jastrebarskog te pozitivnim zakonskim propisima. Također, ostale neoporezive isplate službenicima su bile više u odnosu na prethodno razdoblje (naknade za smrtni slučaj, prigodni dar za rođenje djeteta, nagrada za radne rezultate).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132.837,58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169.377,20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Doprinosi na plaće su 27,5% veći u odnosu na prethodno izvještajno razdoblje, a što je uvjetovano opisanim rastom rashoda za zaposlene na šifri 311.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45.777,92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41.890,16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Naknade troškova zaposlenima su 8,5% manje uslijed manjeg broja službenih putovanja i stručnog osposobljavanja zaposlenika u odnosu na isto izvještajno razdoblje prethodne godine.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158.672,77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177.224,11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lastRenderedPageBreak/>
        <w:t>Rashodi za materijal i energiju realizirani su u ukupnom iznosu od 177.224,11 € odnosno 11,7% više u odnosu na isto izvještajno razdoblje prethodne godine uslijed rasta troškova za električnu energiju uslijed nove Uredbe Vlade o otklanjanju porem</w:t>
      </w:r>
      <w:r w:rsidR="00EF56B8">
        <w:t>e</w:t>
      </w:r>
      <w:r>
        <w:t>ćaja na tržištu te rashoda za materijal za redovan rad gradske uprave.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3.390.195,10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3.682.333,68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usluge u ovom izvještajnom razdoblju realizirani su u ukupnom iznosu od 3.682.333,68 € te su realizirani 8,6% više u odnosu na isto izvještajno razdoblje prethodne godine, a što je najvećim dijelom uvjetovano rastom troškova tekućeg i investicijskog održavanja komunalne infrastrukture i nekretnina u vlasništvu Grada te rastom troškova za zakupnine i najamnine uslijed potrebe najma opreme za održavanje gradskih manifestacija (npr. Dani vina i Diplomatska berba).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215.131,29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325.938,40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Ostali nespomenuti rashodi poslovanja u ovom izvještajnom razdoblju realizirani su u ukupnom iznosu od 325.938,40 € što je 51,5% više u odnosu na isto izvještajno razdoblje prethodne godine. Navedeno je u najvećoj mjeri rezultat održavanja lokalnih izbora i izbora za članove vijeća mjesnih odbora i gradskih četvrti u ovom izvještajnom razdoblju i posljedično tome isplate naknada za rad članovima biračkih odbora i članovima Gradskog izbornog povjerenstva (stalni i prošireni sastav) i njegov stručni tim.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90.630,07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266.477,83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U ovom izvještajnom razdoblju realizirani su u ukupnom iznosu od 266.477,83 € što je 194,0 % više u odnosu na isto izvještajno razdoblje prethodne godine. Predmetno povećanje se </w:t>
      </w:r>
      <w:r>
        <w:lastRenderedPageBreak/>
        <w:t xml:space="preserve">odnosi na </w:t>
      </w:r>
      <w:proofErr w:type="spellStart"/>
      <w:r>
        <w:t>interkalarne</w:t>
      </w:r>
      <w:proofErr w:type="spellEnd"/>
      <w:r>
        <w:t xml:space="preserve"> kamate budući je do kraja ovog izvještajnog razdoblja bilo u tijeku korištenje kreditnih sredstava po kreditu ugovorenom kod tuzemne kreditne institucije izvan javnog sektora za  sufinanciranje nastavka višegodišnjeg projekta obnove i revitalizacije dvorca </w:t>
      </w:r>
      <w:proofErr w:type="spellStart"/>
      <w:r>
        <w:t>Erdody</w:t>
      </w:r>
      <w:proofErr w:type="spellEnd"/>
      <w:r>
        <w:t xml:space="preserve"> u Jastrebarskom, a sve sukladno dinamici uvjetima kredita i dinamici povlačenja kreditnih sredstava.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126.738,24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215,3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Skupina subvencija u ovom izvještajnom razdoblju je r</w:t>
      </w:r>
      <w:r w:rsidR="00EF56B8">
        <w:t>e</w:t>
      </w:r>
      <w:r>
        <w:t>alizirana u iznosu od 126.738,24 € odnosno 115,3% više budući Grad Ja</w:t>
      </w:r>
      <w:r w:rsidR="00EF56B8">
        <w:t>s</w:t>
      </w:r>
      <w:r>
        <w:t>trebarsko od 1.1.2025. godine provodi Program mjera osiguravanja specijalističke zdravstvene zaštite na području grada, temeljem kojeg se isplaćuje poticajna naknada za specijalističke ordinacije za zdravstvenu zaštitu predškolske djece i zdravstvenu zaštitu žena, a također temeljem Odluke o sufinanciranju djelatnosti dadilja na području Grada Jastrebarskog za 2025. godinu povećan je iznos subvencije obrta za čuvanje djece na 350,00 € po djetetu.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3.182.853,69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4.993.073,00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Dane pomoći su u ovom izvještajnom razdoblju realizirane u ukupnom iznosu od  4.993.073,00 € odnosno 56,9% više u odnosu na isto izvještajno razdoblje prethodne godine.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126.729,90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435.996,44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Pomoći drugim proračunima i izvanproračunskim kor</w:t>
      </w:r>
      <w:r w:rsidR="00EF56B8">
        <w:t>i</w:t>
      </w:r>
      <w:r>
        <w:t xml:space="preserve">snicima u ovom izvještajnom razdoblju su realizirane 244,0% više nego u istom izvještajnom razdoblju prethodne godine. Predmetno povećanje je uvjetovano provedbom kapitalnog projekta izgradnje propusta na potoku </w:t>
      </w:r>
      <w:proofErr w:type="spellStart"/>
      <w:r>
        <w:lastRenderedPageBreak/>
        <w:t>Volavčica</w:t>
      </w:r>
      <w:proofErr w:type="spellEnd"/>
      <w:r>
        <w:t xml:space="preserve"> koji Grad Jastrebarsko provodi u suradnji s Hrvatskim vodama, a koji radovi su i okončani u ovom izvještajnom razdoblju, te provedbom kapitalnog projekta rekonstrukcije križanja između Gospodarske ulice i D310 u GZ </w:t>
      </w:r>
      <w:proofErr w:type="spellStart"/>
      <w:r>
        <w:t>Jalševac</w:t>
      </w:r>
      <w:proofErr w:type="spellEnd"/>
      <w:r>
        <w:t>, koju Grad provodi u suradnji s Hrvatskim cestama, a za koji su u ovom izvještajnom razdoblju riješeni imovinsko- pravni odnosi. Također, isplaćena kapitalna pomoć Zagrebačkoj županiji za provedbu projekta „OŠ Ljubo Babić“ Jastrebarsko- vanjsko igralište- Izgradnja atletske staze koji Grad provodi u suradnji sa Zagrebačkom županijom koja je bila prijavitelj projekta i voditi će projekt izgradnje, dok se preostala sredstva osiguravaju kroz sufinanciranje Ministarstva turizma i sporta.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235.640,23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272.969,87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Ova podskupina rashoda realizirana je u iznosu od 272.969,87 € odnosno 15,8% više u odnosu isto izvještajno razdoblje prethodne godine, a što je uvjetovano povećanjem rashoda za financiranje aktivnosti produženi boravak budući je došlo do rasta plaća zaposlenih u produženom boravku (a za koje se sredstva osiguravaju u gradskom proračunu) uslijed primjene Odluke o visini osnovice za obračun plaće u javnim službama u 2025. godini („Narodne novine“, broj 155/24).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2.820.483,56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4.284.106,69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svojoj nadležnosti Grad Jastrebarsko ima tri proračunska korisnika: Dječji vrtić „Radost“ Jastrebarsko, Centar za kulturu Jastrebarsko te Glazbenu školu Jastrebarsko. Prijenosi proračunskim korisnicima iz nadležnog proračuna su realizirani u iznosu od 4.284.106,69 € što je povećanje u odnosu na isto razdoblje prethodne godine za 51,9%. Navedeno povećanje je najvećim dijelom uvjetovano ukidanjem sudjelovanja roditelja korisnika usluge u cijeni vrtića i „besplatnim vrtićem“ od 1.1.2025. godine, odnosno rashodi za redovan rad ove ustanove (plaće i materijalna prava, materijalni rashodi, dodatna ulaganja na objektima i dr.) se financiraju iz Gradskog proračuna.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296.621,04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359.902,03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Ova podskupina je realizirana 21,3% više u odnosu na isto izvještajno razdoblje prethodne godine, a što je uvjetovano isplatom više financijske potpore Srednjoj školi Jastrebarsko za nabavu udžbenika i nastavnih pomagala za smjer logističar kao i povećanjem isplaćenog iznosa jednokratnih novčanih pomoći socijalno najugroženijim sugrađanima te iznosa isplaćene prigodne nagrade umirovljenicima povodom Božića.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296.020,40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267.733,55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ovom izvještajnom razdoblju kapitalne donacije s realizacijom odstupaju na niže za 9,6% u odnosu na isto izvještajno razdoblje prethodne godine budući su u prvom polugodištu 2024. godine isplaćeni znatniji iznosi kapitalnih donacija vjerskim zajednicama i vatrogasnim društvima u svrhu realizacije njihovih kapitalnih projekata.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636.788,39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212.754,41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ovom izvj</w:t>
      </w:r>
      <w:r w:rsidR="00EF56B8">
        <w:t>e</w:t>
      </w:r>
      <w:r>
        <w:t xml:space="preserve">štajnom razdoblju kapitalne pomoći realizirane su 66,6% manje nego u istom izvještajnom razdoblju prethodne godine budući su u istom izvještajnom razdoblju prethodne godine isplaćeni znatniji </w:t>
      </w:r>
      <w:r w:rsidR="00EF56B8">
        <w:t>iznosi</w:t>
      </w:r>
      <w:r>
        <w:t xml:space="preserve"> kapitalnih pomoći trgovačkom društvu u vlasništvu Grada za provedbu njegovih kapitalnih projekata izgra</w:t>
      </w:r>
      <w:r w:rsidR="00EF56B8">
        <w:t>d</w:t>
      </w:r>
      <w:r>
        <w:t>nje sustava vodovoda i odvodnje. Tijekom ovog izvještajnog razdoblja nije bilo isplate kapitalnih pomoći za projekte izgradnje komunalno vodnih građevina obzirom da se bivše gradsko trgovačko društvo Vode Jastrebarsko d.o.o. pripojilo trgovačkom društvu Vodoopskrba i odvodnja d.o.o. temeljem Uredbe o uslužnim područjima te je potrebno uskladiti interne dokumente i procedure kao i donijeti planove gradnje, a što se očekuje tijekom 2026. godine.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5.864.570,11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4.426.728,98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izvještajnom razdoblju je ostvaren višak prihoda poslovanja u iznosu 4.426.728,98 €, a koji najvećim proizlazi iz različite dinamike priljeva i odljeva sredstava s računa te činjenice da se znatan dio rashoda za nefinancijsku imovinu financira iz prihoda poslovanja.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493.676,78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6.248.978,87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1265,8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Znatno povećanja Obračunatih prihoda poslovanja u odnosu na izvještajno razdoblje prethodne godine uvjetovano je primjenom novog Pravilnika o proračunskom računovodstvu i računskom planu po kojem svaki prihod, izuzev poreza na dohodak,  ima knjiženo svoje potraživanje i obračunati prihod.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209.203,47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743.378,82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355,3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Prihodi od prodaje nefinancijske imovine realizirani su u iznosu od 743.378,82 € odnosno 255,3% više u odnosu na isto izvještajno razdoblje prethodne godine. Na više izvršenje utjecali su prihodi ostvareni s osnove prodaje zemljišta (šifra 711) odnosno jednog velikog zemljišta koje je prodano nakon više godine uzastopnih raspisivanja javnog natječaja  za prodaju te nekretnina u vlasništvu Grada. Također, ostvaren je i prihod od prodaje nekretnine u vlasništvu Grada, a koja je prešla u vlasništvo Grada kao „</w:t>
      </w:r>
      <w:proofErr w:type="spellStart"/>
      <w:r>
        <w:t>ošasna</w:t>
      </w:r>
      <w:proofErr w:type="spellEnd"/>
      <w:r>
        <w:t xml:space="preserve"> imovina“.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279.089,96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518.720,20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185,9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Ova podskupina rashoda s realizacijom odstupa na manje i to za 85,9% budući su u ovom izvještajnom razdoblju rješavani imovinsko-pravni odnosni odnosno vršio se otkup zemljišta za gradnju budućih trasa nerazvrstanih cesta u Sjevernom dijelu centra Grada i izgradnju rotora s rekonstrukcijom dijela pristupnih ulica (Trg Ljube Babića, Mirni put, Bana T.E. Bakača)  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234.026,56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167.776,54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71,7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nematerijalnu imovinu realizirani su u ukupnom iznosu od 167.776,54 € što je 28,3% manje u odnosu na isto izvještajno razdoblje prethodne godine budući je tada zav</w:t>
      </w:r>
      <w:r w:rsidR="00EF56B8">
        <w:t>ršen</w:t>
      </w:r>
      <w:r>
        <w:t xml:space="preserve"> veći dio projekta Krajobraznog uređenja naselja Cvetković, a u ovoj godini manji dio završnih radova. Uz to se  radila i rekonstrukcija dječjeg igrališta u sklopu područnog objekta dječjeg vrtića Radost u Gornjem </w:t>
      </w:r>
      <w:proofErr w:type="spellStart"/>
      <w:r>
        <w:t>Desincu</w:t>
      </w:r>
      <w:proofErr w:type="spellEnd"/>
      <w:r>
        <w:t xml:space="preserve"> i Radost II, a u sklopu kojih se ulagalo na tuđoj imovini i to je evidentirano na podskupini računa 412 nematerijalna imovina.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482.693,66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1.215.354,12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U ovom izvještajnom razdoblju ova podskupina je realizirana u ukupnom iznosu od 1.215.354,12 € odnosno 151,8 % više u odnosu na isto izvještajno razdoblje prethodne godine, a odnosi se na izvedene radove na izgradnji komunalne infrastrukture (nogostupi u </w:t>
      </w:r>
      <w:proofErr w:type="spellStart"/>
      <w:r>
        <w:t>Petrovini</w:t>
      </w:r>
      <w:proofErr w:type="spellEnd"/>
      <w:r>
        <w:t xml:space="preserve"> i Donjem </w:t>
      </w:r>
      <w:proofErr w:type="spellStart"/>
      <w:r>
        <w:t>Desincu</w:t>
      </w:r>
      <w:proofErr w:type="spellEnd"/>
      <w:r>
        <w:t xml:space="preserve">, spoj ulice V. Holjevca- Plodine, izgradnja mosta u </w:t>
      </w:r>
      <w:proofErr w:type="spellStart"/>
      <w:r>
        <w:t>Domagoviću</w:t>
      </w:r>
      <w:proofErr w:type="spellEnd"/>
      <w:r>
        <w:t xml:space="preserve">, dječje igralište u naselju </w:t>
      </w:r>
      <w:proofErr w:type="spellStart"/>
      <w:r>
        <w:t>Hrastje</w:t>
      </w:r>
      <w:proofErr w:type="spellEnd"/>
      <w:r>
        <w:t xml:space="preserve"> </w:t>
      </w:r>
      <w:proofErr w:type="spellStart"/>
      <w:r>
        <w:t>Plešivičko</w:t>
      </w:r>
      <w:proofErr w:type="spellEnd"/>
      <w:r>
        <w:t>) dok u izvještajnom razdoblju prethodne godine nije bilo  većih rashoda za građevinske objekte.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39.927,35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91.986,90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Ova podskupina rashoda s realizacijom odstupa na više obzirom da su u sklopu provedbe projekta Pametna i održiva rješenja u prometu Grada Jastrebarskog, a za koji je ostvareno sufinanciranje od strane Fonda za zaštitu okoliša i energetsku učinkovitost, nabavljeni senzori za praćenje prometa i kvalitete zraka te senzori za brojanje prometa. 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 i osnovno stado (šifre 4251+4252)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231.230,91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87.845,37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ovom izvještajnom razdoblju ova podskupina je realizirana u ukupnom iznosu od 87.845,37 €, a odnosi se na hortikulturno uređenje i sadnju stabala u sklopu EU projekta Krajobrazno uređenje naselja Cvetković te u sklopu projekta „780 stabala za 780 godina Jaske“.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154.288,32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124.722,90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nabavu nematerijalne proizvedene imovine realizirani su u iznosu od 124.722,90 € odnosno manji su za 19,2% u odnosu na isto izvještajno razdoblje prethodne godine budući je u istom izvještajnom razdoblju prethodne godine izrađivana prostorno- planska dokumentacija odnosno provodila transformacija postojećih prostornih planova u digitalni oblik.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8.699.738,61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9.472.398,10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lastRenderedPageBreak/>
        <w:t xml:space="preserve">Rashodi za dodatna ulaganja na građevinskim objektima u ovom izvještajnom razdoblju iznose 9.521.220,85€  što je odstupanje na više za 9,0 % u odnosu na isto izvještajno razdoblje prethodne godine.  U tekućem izvještajnom razdoblju realizirani su rashodi vezani za provedbu višegodišnjeg kapitalnog projekta Obnova i revitalizacija dvorca </w:t>
      </w:r>
      <w:proofErr w:type="spellStart"/>
      <w:r>
        <w:t>Erdödy</w:t>
      </w:r>
      <w:proofErr w:type="spellEnd"/>
      <w:r>
        <w:t xml:space="preserve"> u Jastrebarskom, te za obnovu Gradskog muzeja kao i rashodi vezani uz dodatna ulaganja u nerazvrstane ceste u sklopu pojačanog investicijskog održavanja nerazvrstanih cesta, sanaciju klizišta te rashodi vezani uz ulaganje u društveni dom u jednom prigradskom naselju.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9.943.955,65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10.984.248,06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izvještajnom razdoblju ostvaren je manjak prihoda od nefinancijske imovine u iznosu od 10.984.248,06 € što proizlazi iz činjenice da se veliki dio rashoda za nabavu nefinancijske imovine financira iz prihoda poslovanja te iz primitaka od zaduživanja (projekt obnove dvorca </w:t>
      </w:r>
      <w:proofErr w:type="spellStart"/>
      <w:r>
        <w:t>Erdody</w:t>
      </w:r>
      <w:proofErr w:type="spellEnd"/>
      <w:r>
        <w:t>).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6.785.172,32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6.955.827,68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U izvještajnom razdoblju tekuće godine Grad je realizirao primitak  kredita od tuzemnih kreditnih institucija izvan javnog sektora u iznosu od 6.955.827,68 € za financiranje nastavka višegodišnjeg projekta obnove i revitalizacije dvorca </w:t>
      </w:r>
      <w:proofErr w:type="spellStart"/>
      <w:r>
        <w:t>Erdody</w:t>
      </w:r>
      <w:proofErr w:type="spellEnd"/>
      <w:r>
        <w:t xml:space="preserve"> u Jastrebarskom, a temeljem odobrenog kreditnog zaduženja i sukladno dinamici povlačenja kreditnih sredstava. S 30.12.2025. kreditna sredstva po ovom kreditu su u cijelosti iskorištena.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6.358.874,64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6.538.896,36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lastRenderedPageBreak/>
        <w:t xml:space="preserve">Višak primitaka od financijske imovine i obveza u ovom izvještajnom razdoblju iznosi 6.538.896,36 € budući je do 31.12.2025. godine bilo razdoblje korištenja sredstava kredita za rekonstrukciju i obnovu dvorca </w:t>
      </w:r>
      <w:proofErr w:type="spellStart"/>
      <w:r>
        <w:t>Erdody</w:t>
      </w:r>
      <w:proofErr w:type="spellEnd"/>
      <w:r>
        <w:t>. 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3.132.097,13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3.113.514,16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Ukupni prihodi i primici (ŠIFRA X678) u izvještajnom razdoblju iznose 25.367.016,82 €, a ukupni rashodi i izdaci (ŠIFRA Y345)  iznose 25.385.639,54 €, te je ostvaren manjak prihoda i primitaka za izvještajno razdoblje (ŠIFRA y005)  u iznosu 18.622,72 €. Preneseni višak prihoda i primitaka iz prethodne godine (ŠIFRA 9221-9222) iznosi 3.132.136,88 € tako da višak prihoda i primitaka raspoloživ u narednom razdoblju (ŠIFRA X006)  iznosi 3.113.514,16 €.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70.186.391,48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86.135.915,15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Vrijednost nefinancijske imovine se povećala u odnosu na 01.01.2025. godine za 22,7%, što je najvećim dijelom uvjetovano ulaganjima u obnovu građevinskih objekata odnosno nerazvrstanih cesta, rashodima vezanim za obnovu objekta dvorca te procjenom i knjigovodstvenim evidentiranjem zemljišta.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14.242.999,84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20.583.100,62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Povećanje vrijednosti dugotrajne nefinancijske imovine u pripremi iznosi 44,5% te se najvećim dijelom odnosi na višegodišnji projekt obnove i revitalizacije dvorca </w:t>
      </w:r>
      <w:proofErr w:type="spellStart"/>
      <w:r>
        <w:t>Erdody</w:t>
      </w:r>
      <w:proofErr w:type="spellEnd"/>
      <w:r>
        <w:t xml:space="preserve"> u Jastrebarskom, čiji završetak radova je planiran u 2026. godini.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4.165.400,81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4.317.043,50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Stanje novca u banci iznosi 4.317.043,50 € a što je više za 3,6% u odnosu na stanje na početku godine.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517.545,45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6.265.786,67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1210,7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Potraživanja za prihode poslovanja su veća u odnosu na stanje na početku godine te iznose 6.265.786,67€, a slijedom primjene Pravilnika o proračunskom računovodstvu i računskom planu (NN, broj 158/23 i 154/24) kojim od 01. siječnja 2025. godine je propisano iskazivanje potraživanja za pomoći iz inozemstva i od subjekata unutar općeg proračuna u poslovnim knjigama proračuna. </w:t>
      </w:r>
    </w:p>
    <w:p w:rsidR="00607AB3" w:rsidRDefault="00000000">
      <w:r>
        <w:t>Po podskupinama potraživanja iznose: </w:t>
      </w:r>
    </w:p>
    <w:p w:rsidR="00607AB3" w:rsidRDefault="00000000">
      <w:r>
        <w:t>Potraživanja za gradske poreze: porez na kuće za odmor, potrošnju, javne površine, na promet nekretninama i tvrtku</w:t>
      </w:r>
      <w:r>
        <w:br/>
        <w:t>ŠIFRA 161= 149.875,63 €</w:t>
      </w:r>
      <w:r>
        <w:br/>
        <w:t>Potraživanja za pomoći iz inozemstva i od subjekata unutar općeg proračuna ŠIFRA 163 = 5.889.270,99 €</w:t>
      </w:r>
      <w:r>
        <w:br/>
        <w:t>Potraživanja za prihode od imovine se odnose na kamate, najam i zakup te naknadu za legalizaciju objekata ŠIFRA 164=180.100,45 €</w:t>
      </w:r>
      <w:r>
        <w:br/>
        <w:t>Potraživanja za vodni, šumski i komunalni doprinos te komunalnu naknadu i naknadu za uređenje voda ŠIFRA 165= 438.770,63 €</w:t>
      </w:r>
      <w:r>
        <w:br/>
        <w:t>Potraživanja za prihode od prodaje proizvoda i robe te pruženih usluga i za povrat po protestiranim jamstvima ŠIFRA 166= 22.389,21 €</w:t>
      </w:r>
      <w:r>
        <w:br/>
        <w:t>Potraživanja za kazne, troškove ovršnih postupaka te ostale nespomenute prihode ŠIFRA 168= 70.158,96 €</w:t>
      </w:r>
      <w:r>
        <w:br/>
        <w:t>Ispravak vrijednosti potraživanja ŠIFRA 169=  485.032,75</w:t>
      </w:r>
      <w:r>
        <w:br/>
        <w:t xml:space="preserve">Ispravak vrijednosti potraživanja provodi se na kraju proračunske godine uzimajući u obzir kašnjenje u naplati potraživanja. Ako se s naplatom potraživanja kasni više od dvije godine i ako je nad dužnikom pokrenut stečajni i/ili likvidacijski postupak,  vrijednost potraživanja se ispravlja se po stopi od 100%. Dospjela potraživanja za prihode poslovanja na dan 31. </w:t>
      </w:r>
      <w:r>
        <w:lastRenderedPageBreak/>
        <w:t>prosinca 2025. iznose 1.051.587,12€, a nedospjela potraživanja za prihode poslovanja iznose 5.699.232,30€.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10.489.524,56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17.212.529,95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Obveze su veće za 64,1% u odnosu na 01.01.2025. godine te iznose 17.212.529,95 €. U sljedećoj tablici je prikazana struktura obveza te stanje na početku i na kraju godine 2025. Najznačajnije povećanje je kod obveza za kredite od tuzemnih kreditnih institucija izvan javnog sektora što je uvjetovano  primitkom  kredita za sufinanciranje nastavka višegodišnjeg projekta obnove i revitalizacije dvorca </w:t>
      </w:r>
      <w:proofErr w:type="spellStart"/>
      <w:r>
        <w:t>Erdody</w:t>
      </w:r>
      <w:proofErr w:type="spellEnd"/>
      <w:r>
        <w:t xml:space="preserve"> u Jastrebarskom.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3.132.097,13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3.113.514,16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Ukupni višak prihoda iznosi  3.113.514,16 €, a nastao je kao rezultat prenesenog viška prihoda iz prethodne godine u visini od 3.132.136,88€ umanjenog za ostvareni rezultat tekuće godine u iznosu od 18.622,72€.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18.368.604,96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36.414.489,83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198,2</w:t>
            </w:r>
          </w:p>
        </w:tc>
      </w:tr>
    </w:tbl>
    <w:p w:rsidR="00607AB3" w:rsidRDefault="00607AB3">
      <w:pPr>
        <w:spacing w:after="0"/>
      </w:pPr>
    </w:p>
    <w:p w:rsidR="00607AB3" w:rsidRDefault="00000000">
      <w:proofErr w:type="spellStart"/>
      <w:r>
        <w:t>Izvanbilančni</w:t>
      </w:r>
      <w:proofErr w:type="spellEnd"/>
      <w:r>
        <w:t xml:space="preserve"> zapisi iznose 36.414.489,83€ te su u odnosu na 01.01.2025. godine veći za 98,2% slijedom primjene Pravilnika o proračunskom računovodstvu i računskom planu (NN, broj 158/23 i 154/24) kojim od 01. siječnja 2025. godine je propisano iskazivanje i zapisa o preuzetim obvezama po ugovorima o nabavi roba, radova i usluga, te potraživanja po ugovorima o dodijeljenim bespovratnim sredstvima iz EU fondova. </w:t>
      </w:r>
    </w:p>
    <w:p w:rsidR="00607AB3" w:rsidRDefault="00000000">
      <w:r>
        <w:t xml:space="preserve">U okviru istih evidentirani su sljedeći </w:t>
      </w:r>
      <w:proofErr w:type="spellStart"/>
      <w:r>
        <w:t>izvanbilančni</w:t>
      </w:r>
      <w:proofErr w:type="spellEnd"/>
      <w:r>
        <w:t xml:space="preserve"> zapisi, i to(iznosi su u €):</w:t>
      </w:r>
    </w:p>
    <w:p w:rsidR="00607AB3" w:rsidRDefault="00000000">
      <w:r>
        <w:lastRenderedPageBreak/>
        <w:t>Tuđa imovina dobivena na korištenje=2.076.100,70- tuđa imovina dobivena na korištenje obuhvaća Ugovore o operativnom leasingu za vozila te Ugovor o energetskom učinku temeljem provedenih mjera poboljšanja energetske učinkovitosti sustava javne rasvjete Grada Jastrebarskog.</w:t>
      </w:r>
      <w:r>
        <w:br/>
        <w:t>Instrumenti osiguranja plaćanja=12.135.592,06- Instrumenti osiguranja plaćanja obuhvaćaju primljene zadužnice od kupaca u iznosu od 482.404,05€, te izdane zadužnice od strane grada u iznosu od 11.653.188,01€.Potencijalne obveze po osnovi sudskih sporova u tijeku= 629.974,23</w:t>
      </w:r>
      <w:r>
        <w:br/>
        <w:t>Preuzete obveze po ugovorima o nabavi roba, radova i usluga=11.937.073,99</w:t>
      </w:r>
      <w:r>
        <w:br/>
        <w:t>Potraživanja po ugovorima o dodijeljenim bespovratnim sredstvima iz EU fondova=5.567.716,35</w:t>
      </w:r>
      <w:r>
        <w:br/>
        <w:t xml:space="preserve">Ostali </w:t>
      </w:r>
      <w:proofErr w:type="spellStart"/>
      <w:r>
        <w:t>izvanbilančni</w:t>
      </w:r>
      <w:proofErr w:type="spellEnd"/>
      <w:r>
        <w:t xml:space="preserve"> zapisi=4.068.032,50</w:t>
      </w:r>
    </w:p>
    <w:p w:rsidR="00607AB3" w:rsidRDefault="00000000">
      <w:r>
        <w:t>Potencijalne obveze po osnovi sudskih sporova u tijeku prikazane su u nastavku (iznosi su u €):</w:t>
      </w:r>
      <w:r>
        <w:br/>
        <w:t>1.Otkup stana – nadomještanje ugovora- vrijednost 13.272,41</w:t>
      </w:r>
      <w:r>
        <w:br/>
        <w:t>2.Naknada štete – isplata tržišne cijene- vrijednost 22.695,60 </w:t>
      </w:r>
      <w:r>
        <w:br/>
        <w:t>3.Stjecaje bez osnove – izvlaštenje- vrijednost 5.288,47 </w:t>
      </w:r>
      <w:r>
        <w:br/>
        <w:t>4.Izvršenje – prolazak javnog puta između tužiteljevih čestica k.o. Sveta Ana- vrijednost 6.636,14 </w:t>
      </w:r>
      <w:r>
        <w:br/>
        <w:t>5.Tužba radi naknade štete- vrijed</w:t>
      </w:r>
      <w:r w:rsidR="00EF56B8">
        <w:t>n</w:t>
      </w:r>
      <w:r>
        <w:t>ost 7.565,20 </w:t>
      </w:r>
      <w:r>
        <w:br/>
        <w:t>6.Tužba radi naknade štete- vrijednost 4.645,30 </w:t>
      </w:r>
      <w:r>
        <w:br/>
        <w:t>7. Tužba radi predaje u posjed dijela nekretnine- vrijednost 1.327,36 </w:t>
      </w:r>
      <w:r>
        <w:br/>
        <w:t>8. Tužba radi povrede autorskog prava- vrijednost 13.272,28 </w:t>
      </w:r>
      <w:r>
        <w:br/>
        <w:t>9. Tužba radi naknade štete- vrijednost 13.202,38 </w:t>
      </w:r>
      <w:r>
        <w:br/>
        <w:t>10. Tužba protiv prava služnosti- vrijednost 129.322,65 </w:t>
      </w:r>
      <w:r>
        <w:br/>
        <w:t xml:space="preserve">11.Rješenje o ovrsi na </w:t>
      </w:r>
      <w:proofErr w:type="spellStart"/>
      <w:r>
        <w:t>ošasnoj</w:t>
      </w:r>
      <w:proofErr w:type="spellEnd"/>
      <w:r>
        <w:t xml:space="preserve"> imovini- vrijednost 411.246,44 </w:t>
      </w:r>
      <w:r>
        <w:br/>
        <w:t>12. Utvrđivanje prava vlasništva nekretnine dosjelošću- vrijednost 1.500,00 </w:t>
      </w:r>
      <w:r>
        <w:br/>
      </w:r>
    </w:p>
    <w:p w:rsidR="00607AB3" w:rsidRDefault="00000000">
      <w:r>
        <w:t>Preuzete obveze po ugovorima o nabavi roba, radova i usluga prikazane su u tablici u nastavku.</w:t>
      </w:r>
    </w:p>
    <w:p w:rsidR="00607AB3" w:rsidRDefault="00000000">
      <w:r>
        <w:t>1.Projekt - DVORAC ERDODY 7.182.929,03€</w:t>
      </w:r>
      <w:r>
        <w:br/>
        <w:t>2.PROJEKT - VRTIĆ-R6 4.290.504,43 €</w:t>
      </w:r>
      <w:r>
        <w:br/>
        <w:t>3.PROJEKT - E-PROSTORNI PLANOVI 88.375,00€</w:t>
      </w:r>
      <w:r>
        <w:br/>
        <w:t>4.PROJEKT - SOLARNE ELEKTRANE 7.125,00 €</w:t>
      </w:r>
      <w:r>
        <w:br/>
        <w:t>5.OSTALO (KOM.INF., OPREMA, OBJEKTI JN) 368.140,53 E</w:t>
      </w:r>
      <w:r>
        <w:br/>
        <w:t> </w:t>
      </w:r>
    </w:p>
    <w:p w:rsidR="00607AB3" w:rsidRDefault="00000000">
      <w:r>
        <w:t>Potraživanja po ugovorima o dodijeljenim bespovratnim sredstvima iz EU fondova prikazana su u tablici u nastavku.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SPORAZUM O PARTNERSTVU U PROVEDBI PROJEKTA Revitalizacija planinarsko-</w:t>
      </w:r>
      <w:proofErr w:type="spellStart"/>
      <w:r>
        <w:t>posjetiteljske</w:t>
      </w:r>
      <w:proofErr w:type="spellEnd"/>
      <w:r>
        <w:t xml:space="preserve"> infrastrukture Parka prirode "Žumberak-Samoborsko gorje" NPOO.C1.6.R1-I1.01-V2.0094= 3.827.504,85 (Nositelj projekta Revitalizacija </w:t>
      </w:r>
      <w:r>
        <w:lastRenderedPageBreak/>
        <w:t>planinarsko-</w:t>
      </w:r>
      <w:proofErr w:type="spellStart"/>
      <w:r>
        <w:t>posjetiteljske</w:t>
      </w:r>
      <w:proofErr w:type="spellEnd"/>
      <w:r>
        <w:t xml:space="preserve"> infrastrukture Parka prirode "Žumberak-Samoborsko </w:t>
      </w:r>
      <w:proofErr w:type="spellStart"/>
      <w:r>
        <w:t>gorje"u</w:t>
      </w:r>
      <w:proofErr w:type="spellEnd"/>
      <w:r>
        <w:t xml:space="preserve"> prosincu 2025. godine uputio je zahtjev za raskidom Ugovora o dodjeli bespovratnih sredstava iz EU fondova)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Izgradnja područnog vrtića "Radost 6" s kuhinjom u Jastrebarskom - NPOO.C3.1.R1-I1.02.0025= 1.575.897,50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E-PROSTORNI PLANOVI (Izmjena i dopuna PPUGJ - NPOO.C2.3.R3-I7.01.0409, Transformacija GUP GJ - NPOO.C2.3.R3-I7.01.0410, Izmjena i dopuna DPU "Južna zona - Jastrebarsko"- NPOO.C2.3.R3-I7.01.0444, Izmjena i dopuna DPU "</w:t>
      </w:r>
      <w:proofErr w:type="spellStart"/>
      <w:r>
        <w:t>Pečkarica</w:t>
      </w:r>
      <w:proofErr w:type="spellEnd"/>
      <w:r>
        <w:t xml:space="preserve"> - Jastrebarsko"- NPOO.C2.3.R3-I7.01.0443, UPU ''Donja Reka''- NPOO.C2.3.R3-I7.01.0442) =111.000,00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Povećanje energetske učinkovitosti kroz ugradnju sunčanih elektrana na javnim objektima u GJ - I-77.06.01.- ID 2245348 LAG SAVA=53.314,00</w:t>
      </w:r>
    </w:p>
    <w:p w:rsidR="00607AB3" w:rsidRDefault="00000000">
      <w:r>
        <w:t>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javne usluge (šifre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2.810.288,95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3.325.624,42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U okviru funkcije Opće javne usluge na funkcijskoj klasifikaciji 01 Opće javne usluge je povećanje rashoda od 18,3% u odnosu na prethodno izvještajno razdoblje, a uvjetovano povećanjem rashoda vezanih za službenike, te rashoda za opće usluge vezane na opće i administrativne troškove iz samoupravnog djelokruga grada. Također, na povećanje u odnosu na prethodno izvještajno razdoblje utjecalo je i održavanje lokalnih izbora i izbora za članove vijeća mjesnih odbora i gradskih četvrti u svibnju 2025. godine u sklopu kojih su financirani materijalni rashodi vezani uz provedbu izbora kao i naknade za rad članovima biračkih odbora i članovima Gradskog izbornog povjerenstva (stalni i prošireni sastav) i njegov stručni tim.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Obrana (šifre 021 do 025)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19.928,74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funkciju Obrana su 614,4% veći u odnosu na prethodno izvještajno razdoblje budući je Grad Jastrebarsko u ovom izvještajnom razdoblju, u suradnji s HGSS-om- stanica Samobor, sufinancirao nabavku vozila za potrebe rada stanice. </w:t>
      </w:r>
    </w:p>
    <w:p w:rsidR="00607AB3" w:rsidRDefault="00000000">
      <w:r>
        <w:t>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518.386,83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545.564,16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funkciju Javni red i sigurnost u odnosu na prethodnu godinu veći su za 5,2%, a uvjetovani su povećanjem izdvajanja za organizacije civilnog društva čija djelatnost je vezana na usluge protupožarne zaštite.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Ekonomski poslovi (šifre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943.655,77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1.228.422,75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vezani na funkciju Ekonomski poslovi nešto su veći (30,2%) u odnosu na prethodno izvještajno razdoblje, a uvjetovano većim izdvajanjima za rashode proizašle iz aktivnosti lokalnog razvoja (provođenje gospodarskih manifestacija) te većim izdvajanjima za upravljanje gradskom imovinom, a također je poljoprivrednicima s područja Grada isplaćena naknada za elementarnu nepogodu tuča iz 2022. godine po okončanju upravnog spora u korist Grada, a koji spor je Grad vodio s RH. </w:t>
      </w:r>
    </w:p>
    <w:p w:rsidR="00607AB3" w:rsidRDefault="00000000">
      <w:r>
        <w:t>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Zaštita okoliša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545.581,64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295.214,45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u svezi zaštite okoliša manji su za 45,9% u odnosu na prethodno izvještajno razdoblje, a što je uvjetovano činjenicom da je u prethodnom izvještajnom razdoblju proveden kapitalni projekt Krajobrazno uređenje naselja Cvetković u sklopu kojeg se provodilo hortikulturno uređenje naselja i sadnja stabala.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unapređenja stanovanja i zajednice (šifre 061 do 066)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4.892.373,48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5.305.400,07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usluge unapređenja stanovanja i zajednice su nešto viši u odnosu na prethodnu godinu (povećanje za 8,4%) budući su u okviru ove funkcije iskazani rashodi za gradnju komunalne infrastrukture dok u izvještajnom razdoblju prethodne godine nije bilo većih ulaganja.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Zdravstvo (šifre 071+072+073+074+075+076)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79.980,06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116.971,93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146,3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Povećanje rashoda za zdravstvo je uvjetovano provedbom Programa mjera osiguravanja specijalističke zdravstvene zaštite na području grada, temeljem kojeg se isplaćuje poticajna naknada za specijalističke ordinacije za zdravstvenu zaštitu predškolske djece i zdravstvenu zaštitu žena liječnicima specijalistima iz Doma zdravlja Jastrebarsko koji su ostvarili pravo na poticajnu naknadu temeljem javnog poziva.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7.568.178,44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8.938.695,51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Povećanje rashoda za rekreaciju, kulturu i religiju iznosi 18,1% u odnosu na izvještajno razdoblje prethodne godine, a najvećim dijelom je uvjetovano dinamikom izvođenja radova u sklopu višegodišnjeg kapitalnog projekta obnove dvorca </w:t>
      </w:r>
      <w:proofErr w:type="spellStart"/>
      <w:r>
        <w:t>Erdody</w:t>
      </w:r>
      <w:proofErr w:type="spellEnd"/>
      <w:r>
        <w:t>, a u tekućem razdoblju je isplaćena kapitalna pomoć Zagrebačkoj županiji za provedbu projekta „OŠ Ljubo Babić“ Jastrebarsko- vanjsko igralište- Izgradnja atletske staze koji Grad provodi u suradnji sa Zagrebačkom županijom koja je bila prijavitelj projekta i voditi će projekt izgradnje, dok se preostala sredstva osiguravaju kroz sufinanciranje Ministarstva turizma i sporta.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394.452,44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635.655,62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Izdvajanja za obrazovanje veća su 61,1% u odnosu na prethodno izvještajno razdoblje, a uvjetovano većim izdvajanjima za osnovno obrazovanje, prvenstveno za sufinanciranje aktivnosti Produženi boravak, te za sufinanciranje dopunskih nastavnih sredstava.</w:t>
      </w:r>
    </w:p>
    <w:p w:rsidR="00607AB3" w:rsidRDefault="00000000">
      <w:r>
        <w:t>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193.166,78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273.123,88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Rashodi za socijalnu zaštitu veći su 41,4% u odnosu na prethodnu godinu, a uvjetovano većim izdvajanjima za socijalno ugrožene skupine građana (jednokratne novčane pomoći,  jednokratnu naknadu umirovljenicima povodom Božića) te financiranjem programa vezanih uz invaliditet.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6.106.311,00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Povećanje u obujmu nefinancijske imovine iznosi 6.106.311,00 €, a vezano je uz procjenu i evidentiranje zemljišta u poslovnim knjigama temeljem procjene Internog povjerenstva za procjenu vrijednosti imovine u vlasništvu Grada Jastrebarskog te na darovanje nekretnine od strane Republike Hrvatske; i to dijela prostora bivše vojarne u Jastrebarskom. </w:t>
      </w:r>
    </w:p>
    <w:p w:rsidR="00607AB3" w:rsidRDefault="00000000">
      <w:r>
        <w:t xml:space="preserve">Smanjenje u obujmu nefinancijske imovine iznosi 52,75 €, a vezano je uz knjižnu vrijednost imovine kod likvidacije odnosno </w:t>
      </w:r>
      <w:proofErr w:type="spellStart"/>
      <w:r>
        <w:t>isknjiženja</w:t>
      </w:r>
      <w:proofErr w:type="spellEnd"/>
      <w:r>
        <w:t xml:space="preserve"> temeljem Odluke o obavljenom popisu imovine za 2024. godinu.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17.212.529,95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>Stanje obveza na dan 31.12.2025. iznosi 17.212.529,95 € i većinu čine nedospjele obveze, a što je detaljno obrazloženo pod šifrom V009, dok su dospjele obveze obrazložene pod šifrom V007.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17.300,52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Dospjele obveze iznose 17.300,52 €, a odnose se na obveze za nabavu nefinancijske imovine (šifra D24) za kupnju zemljišta u postupku izvlaštenja te na međusobne obveze subjekata općeg proračuna (šifra V008) koje proizlaze iz rješavanja imovinsko- pravnih odnosa za rekonstrukciju raskrižja na D310 u GZ </w:t>
      </w:r>
      <w:proofErr w:type="spellStart"/>
      <w:r>
        <w:t>Jalševac</w:t>
      </w:r>
      <w:proofErr w:type="spellEnd"/>
      <w:r>
        <w:t>, a sve sukladno zaključenom Sporazumu o suradnji i reguliranju međusobnih odnosa Grada Jastrebarskog i Hrvatskih cesta d.o.o.  U oba slučaja se radi o postupku izvlaštenja u kojem stranke nisu dostavile podatke za isplatu naknade za izvlaštenje, te sredstva za navedenu obvezu prema posebnom propisu ostaju deponirana na računu za posebne namjene (šifra M001 i D24C). Dospjele obveze (šifra D24D) se također odnose na postupak izvlaštenja, a u kojem su stranke uložile žalbu na procijenjenu vrijednost zemljišta, te obveza nije podmirena s obzirom da žalbeni postupak je u tijeku. 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07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607A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17.195.229,43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7AB3" w:rsidRDefault="00607AB3">
      <w:pPr>
        <w:spacing w:after="0"/>
      </w:pPr>
    </w:p>
    <w:p w:rsidR="00607AB3" w:rsidRDefault="00000000">
      <w:r>
        <w:t xml:space="preserve">Nedospjele obveze iznose 17.195.229,43 € i to: za rashode poslovanja (ŠIFRA ND 23) iznose 552.867,74 €, za nabavu nefinancijske imovine (ŠIFRA ND 24) iznose 639.366,80 €, a nedospjele obveze za financijsku imovinu (ŠIFRA ND dio 25 i 26), odnosno obveze za otplatu kredita i zajmova iznose 15.943.319,73 €, a koje povećanje je uvjetovano korištenjem sredstava kreditnog zaduženja za sufinanciranje kapitalnog projekta obnove dvorca </w:t>
      </w:r>
      <w:proofErr w:type="spellStart"/>
      <w:r>
        <w:t>Erdody</w:t>
      </w:r>
      <w:proofErr w:type="spellEnd"/>
      <w:r>
        <w:t>. </w:t>
      </w:r>
    </w:p>
    <w:p w:rsidR="00607AB3" w:rsidRDefault="00000000">
      <w:r>
        <w:lastRenderedPageBreak/>
        <w:t xml:space="preserve">Dodana je nova skupina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koje su izdvojene iz odjeljka 2395, i iznose 39.540,58.€</w:t>
      </w:r>
    </w:p>
    <w:p w:rsidR="00607AB3" w:rsidRDefault="00000000">
      <w:r>
        <w:t>Međusobne obveze subjekata unutar općeg proračuna iznose 20.134,58 €, a odnose se sufinanciranje aktivnosti Produženi boravak, za koje sufinanciranje Grad ima sklopljen ugovor sa Osnovnom školom kojoj je osnivač Zagrebačka županija</w:t>
      </w:r>
    </w:p>
    <w:p w:rsidR="00607AB3" w:rsidRDefault="00607AB3"/>
    <w:p w:rsidR="00607AB3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p w:rsidR="00607AB3" w:rsidRDefault="00000000">
      <w:pPr>
        <w:spacing w:line="240" w:lineRule="auto"/>
        <w:jc w:val="both"/>
      </w:pPr>
      <w:r>
        <w:rPr>
          <w:b/>
        </w:rPr>
        <w:t>EU izvještaj</w:t>
      </w:r>
    </w:p>
    <w:p w:rsidR="00607AB3" w:rsidRDefault="00000000">
      <w:r>
        <w:t>U EU izvještaju su prikazani prihodi i rashodi s osnove provedbe tri EU projekta: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Izgradnja područnog vrtića s kuhinjom Radost 6 u Jastrebarskom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Izrada prostornih planova nove generacije putem elektroničkog sustava "</w:t>
      </w:r>
      <w:proofErr w:type="spellStart"/>
      <w:r>
        <w:t>ePlanovi</w:t>
      </w:r>
      <w:proofErr w:type="spellEnd"/>
      <w:r>
        <w:t>"</w:t>
      </w:r>
    </w:p>
    <w:p w:rsidR="00607AB3" w:rsidRDefault="00000000">
      <w:pPr>
        <w:pStyle w:val="Odlomakpopisa"/>
        <w:numPr>
          <w:ilvl w:val="0"/>
          <w:numId w:val="1"/>
        </w:numPr>
      </w:pPr>
      <w:r>
        <w:t>Krajobrazno uređenje naselja Cvetković </w:t>
      </w:r>
    </w:p>
    <w:p w:rsidR="00607AB3" w:rsidRDefault="00000000">
      <w:r>
        <w:t>Sva tri projekta se financiraju s izvora 581 Mehanizam za oporavak i otpornost- bespovratna sredstva.</w:t>
      </w:r>
    </w:p>
    <w:p w:rsidR="00607AB3" w:rsidRDefault="00000000">
      <w:r>
        <w:t>U izvještaju su prikazani naplaćeni prihodi iz izvora 581 u iznosu od 377.464,50€, od čega prihodi u iznosu u 100.773,72€ su financirali nastale rashode u 2025., a iznos prihoda od 276.690,78€ je refundacija vlastitih sredstava proračuna kojima su financirani rashodi za predmetne projekte u 2024. godini.</w:t>
      </w:r>
    </w:p>
    <w:p w:rsidR="00607AB3" w:rsidRDefault="00607AB3"/>
    <w:sectPr w:rsidR="0060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2AD2"/>
    <w:multiLevelType w:val="hybridMultilevel"/>
    <w:tmpl w:val="C88E95AC"/>
    <w:name w:val="decimal"/>
    <w:lvl w:ilvl="0" w:tplc="61AC9C7E">
      <w:start w:val="1"/>
      <w:numFmt w:val="decimal"/>
      <w:lvlText w:val="%1."/>
      <w:lvlJc w:val="left"/>
      <w:pPr>
        <w:ind w:left="720" w:hanging="360"/>
      </w:pPr>
    </w:lvl>
    <w:lvl w:ilvl="1" w:tplc="1764DAC8">
      <w:start w:val="1"/>
      <w:numFmt w:val="decimal"/>
      <w:lvlText w:val="%2."/>
      <w:lvlJc w:val="left"/>
      <w:pPr>
        <w:ind w:left="1440" w:hanging="360"/>
      </w:pPr>
    </w:lvl>
    <w:lvl w:ilvl="2" w:tplc="D2824FAA">
      <w:start w:val="1"/>
      <w:numFmt w:val="decimal"/>
      <w:lvlText w:val="%3."/>
      <w:lvlJc w:val="left"/>
      <w:pPr>
        <w:ind w:left="2160" w:hanging="360"/>
      </w:pPr>
    </w:lvl>
    <w:lvl w:ilvl="3" w:tplc="873A5F82">
      <w:start w:val="1"/>
      <w:numFmt w:val="decimal"/>
      <w:lvlText w:val="%4."/>
      <w:lvlJc w:val="left"/>
      <w:pPr>
        <w:ind w:left="2880" w:hanging="360"/>
      </w:pPr>
    </w:lvl>
    <w:lvl w:ilvl="4" w:tplc="8294EE44">
      <w:start w:val="1"/>
      <w:numFmt w:val="decimal"/>
      <w:lvlText w:val="%5."/>
      <w:lvlJc w:val="left"/>
      <w:pPr>
        <w:ind w:left="3600" w:hanging="360"/>
      </w:pPr>
    </w:lvl>
    <w:lvl w:ilvl="5" w:tplc="45260FC0">
      <w:start w:val="1"/>
      <w:numFmt w:val="decimal"/>
      <w:lvlText w:val="%6."/>
      <w:lvlJc w:val="left"/>
      <w:pPr>
        <w:ind w:left="4320" w:hanging="360"/>
      </w:pPr>
    </w:lvl>
    <w:lvl w:ilvl="6" w:tplc="9B627222">
      <w:start w:val="1"/>
      <w:numFmt w:val="decimal"/>
      <w:lvlText w:val="%7."/>
      <w:lvlJc w:val="left"/>
      <w:pPr>
        <w:ind w:left="5040" w:hanging="360"/>
      </w:pPr>
    </w:lvl>
    <w:lvl w:ilvl="7" w:tplc="ECD09ED4">
      <w:start w:val="1"/>
      <w:numFmt w:val="decimal"/>
      <w:lvlText w:val="%8."/>
      <w:lvlJc w:val="left"/>
      <w:pPr>
        <w:ind w:left="5760" w:hanging="360"/>
      </w:pPr>
    </w:lvl>
    <w:lvl w:ilvl="8" w:tplc="D13CA41C">
      <w:start w:val="1"/>
      <w:numFmt w:val="decimal"/>
      <w:lvlText w:val="%9."/>
      <w:lvlJc w:val="left"/>
      <w:pPr>
        <w:ind w:left="6480" w:hanging="360"/>
      </w:pPr>
    </w:lvl>
  </w:abstractNum>
  <w:num w:numId="1" w16cid:durableId="1896315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B3"/>
    <w:rsid w:val="001A66E7"/>
    <w:rsid w:val="00303D2E"/>
    <w:rsid w:val="00607AB3"/>
    <w:rsid w:val="00D03105"/>
    <w:rsid w:val="00E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2DA5"/>
  <w15:docId w15:val="{6F5987B1-FDED-4A04-AB9C-2CF46AD6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7871</Words>
  <Characters>44871</Characters>
  <Application>Microsoft Office Word</Application>
  <DocSecurity>0</DocSecurity>
  <Lines>373</Lines>
  <Paragraphs>105</Paragraphs>
  <ScaleCrop>false</ScaleCrop>
  <Company/>
  <LinksUpToDate>false</LinksUpToDate>
  <CharactersWithSpaces>52637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Španić</dc:creator>
  <cp:lastModifiedBy>Ivana Spanic</cp:lastModifiedBy>
  <cp:revision>5</cp:revision>
  <cp:lastPrinted>2026-02-10T14:46:00Z</cp:lastPrinted>
  <dcterms:created xsi:type="dcterms:W3CDTF">2026-02-10T14:37:00Z</dcterms:created>
  <dcterms:modified xsi:type="dcterms:W3CDTF">2026-02-10T14:46:00Z</dcterms:modified>
</cp:coreProperties>
</file>